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3"/>
          <w:kern w:val="0"/>
          <w:sz w:val="36"/>
          <w:szCs w:val="36"/>
          <w:highlight w:val="none"/>
          <w:fitText w:val="6228" w:id="424308988"/>
        </w:rPr>
        <w:t>大渡口区医保局医保宣传用品采购文</w:t>
      </w:r>
      <w:r>
        <w:rPr>
          <w:rFonts w:hint="eastAsia" w:ascii="方正黑体_GBK" w:hAnsi="方正黑体_GBK" w:eastAsia="方正黑体_GBK" w:cs="方正黑体_GBK"/>
          <w:b w:val="0"/>
          <w:bCs w:val="0"/>
          <w:color w:val="auto"/>
          <w:spacing w:val="6"/>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bookmarkStart w:id="37" w:name="_GoBack"/>
      <w:bookmarkEnd w:id="37"/>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313893526"/>
      <w:bookmarkStart w:id="1" w:name="_Toc18159"/>
      <w:bookmarkStart w:id="2" w:name="_Toc12808"/>
      <w:bookmarkStart w:id="3" w:name="_Toc7625"/>
      <w:bookmarkStart w:id="4" w:name="_Toc3463"/>
      <w:bookmarkStart w:id="5" w:name="_Toc26820"/>
      <w:bookmarkStart w:id="6" w:name="_Toc317775175"/>
      <w:bookmarkStart w:id="7" w:name="_Toc25458"/>
      <w:bookmarkStart w:id="8" w:name="_Toc18881"/>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1"/>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186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60"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689"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医保宣传用品</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w:t>
            </w:r>
          </w:p>
        </w:tc>
        <w:tc>
          <w:tcPr>
            <w:tcW w:w="186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专项资金</w:t>
            </w:r>
          </w:p>
        </w:tc>
        <w:tc>
          <w:tcPr>
            <w:tcW w:w="1689"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笔记本：1000本</w:t>
            </w:r>
          </w:p>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背心：200件</w:t>
            </w: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22399"/>
      <w:bookmarkStart w:id="11" w:name="_Toc1790"/>
      <w:bookmarkStart w:id="12" w:name="_Toc15727"/>
      <w:bookmarkStart w:id="13" w:name="_Toc25190"/>
      <w:bookmarkStart w:id="14" w:name="_Toc15576"/>
      <w:bookmarkStart w:id="15" w:name="_Toc19437"/>
      <w:bookmarkStart w:id="16" w:name="_Toc6462"/>
      <w:bookmarkStart w:id="17" w:name="_Toc373860293"/>
      <w:bookmarkStart w:id="18" w:name="_Toc317775178"/>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内容</w:t>
      </w:r>
    </w:p>
    <w:p>
      <w:pPr>
        <w:pageBreakBefore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（一）服务内容</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提供PDF格式的图文设计、笔记本纸张、封面材料样品，背心样品、专门的设计师1名进行一对一设计沟通</w:t>
      </w:r>
      <w:r>
        <w:rPr>
          <w:rFonts w:hint="eastAsia" w:ascii="宋体" w:hAnsi="宋体" w:eastAsia="宋体" w:cs="宋体"/>
          <w:b w:val="0"/>
          <w:bCs w:val="0"/>
          <w:color w:val="auto"/>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高效保质</w:t>
      </w:r>
      <w:r>
        <w:rPr>
          <w:rFonts w:hint="eastAsia" w:ascii="宋体" w:hAnsi="宋体" w:cs="宋体"/>
          <w:color w:val="auto"/>
          <w:sz w:val="24"/>
          <w:szCs w:val="24"/>
          <w:highlight w:val="none"/>
          <w:lang w:eastAsia="zh-CN"/>
        </w:rPr>
        <w:t>的原则，结合本项目服务内容，</w:t>
      </w:r>
      <w:r>
        <w:rPr>
          <w:rFonts w:hint="eastAsia" w:ascii="宋体" w:hAnsi="宋体" w:cs="宋体"/>
          <w:color w:val="auto"/>
          <w:sz w:val="24"/>
          <w:szCs w:val="24"/>
          <w:highlight w:val="none"/>
          <w:lang w:val="en-US" w:eastAsia="zh-CN"/>
        </w:rPr>
        <w:t>提供专门设计师1名进行一对一设计沟通，设计师具有较强的专业水平和服务意识，提供笔记本及背心pdf格式的图文设计稿，笔记本纸张、封面材料样品、背心样品等，同时符合采购人根据修改意见及时做出回应（以合同约定为准），笔记本纸张32开、厚度70克以上，内附100页，2023年和2024年日历；背心菱形格双层加网面料。</w:t>
      </w:r>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其他要求</w:t>
      </w:r>
      <w:r>
        <w:rPr>
          <w:rFonts w:hint="eastAsia" w:ascii="宋体" w:hAnsi="宋体" w:cs="宋体"/>
          <w:color w:val="auto"/>
          <w:sz w:val="24"/>
          <w:szCs w:val="24"/>
          <w:highlight w:val="none"/>
          <w:lang w:eastAsia="zh-CN"/>
        </w:rPr>
        <w:t>：供应商负责向采购人提供公司营业执照</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一份，</w:t>
      </w:r>
      <w:r>
        <w:rPr>
          <w:rFonts w:hint="eastAsia" w:ascii="宋体" w:hAnsi="宋体" w:cs="宋体"/>
          <w:color w:val="auto"/>
          <w:sz w:val="24"/>
          <w:szCs w:val="24"/>
          <w:highlight w:val="none"/>
          <w:lang w:val="en-US" w:eastAsia="zh-CN"/>
        </w:rPr>
        <w:t>笔记本设计元素包括封面：医疗保障官方标志图案，内页：标语、义渡医保便民码、便民码四元素、2023年和2014年日历，背心设计元素包括医疗保障官方标志图案、标语：1、中国医保 一生守护2、医保心服务 守护零距离（1、2分别设计）</w:t>
      </w:r>
      <w:r>
        <w:rPr>
          <w:rFonts w:hint="eastAsia" w:ascii="宋体" w:hAnsi="宋体" w:cs="宋体"/>
          <w:color w:val="auto"/>
          <w:sz w:val="24"/>
          <w:szCs w:val="24"/>
          <w:highlight w:val="none"/>
          <w:lang w:eastAsia="zh-CN"/>
        </w:rPr>
        <w:t>。</w:t>
      </w:r>
    </w:p>
    <w:p>
      <w:pPr>
        <w:pStyle w:val="3"/>
        <w:ind w:left="0" w:leftChars="0" w:firstLine="0" w:firstLineChars="0"/>
        <w:jc w:val="center"/>
        <w:rPr>
          <w:rFonts w:hint="eastAsia" w:ascii="宋体" w:hAnsi="宋体" w:cs="宋体"/>
          <w:color w:val="auto"/>
          <w:sz w:val="24"/>
          <w:szCs w:val="24"/>
          <w:highlight w:val="none"/>
          <w:lang w:eastAsia="zh-CN"/>
        </w:rPr>
      </w:pPr>
      <w:r>
        <w:rPr>
          <w:rFonts w:ascii="宋体" w:hAnsi="宋体" w:eastAsia="宋体" w:cs="宋体"/>
          <w:color w:val="auto"/>
          <w:sz w:val="24"/>
          <w:szCs w:val="24"/>
          <w:highlight w:val="none"/>
        </w:rPr>
        <w:drawing>
          <wp:inline distT="0" distB="0" distL="114300" distR="114300">
            <wp:extent cx="2809875" cy="20859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809875" cy="2085975"/>
                    </a:xfrm>
                    <a:prstGeom prst="rect">
                      <a:avLst/>
                    </a:prstGeom>
                    <a:noFill/>
                    <a:ln w="9525">
                      <a:noFill/>
                    </a:ln>
                  </pic:spPr>
                </pic:pic>
              </a:graphicData>
            </a:graphic>
          </wp:inline>
        </w:drawing>
      </w:r>
    </w:p>
    <w:p>
      <w:pPr>
        <w:keepNext w:val="0"/>
        <w:keepLines w:val="0"/>
        <w:widowControl/>
        <w:suppressLineNumbers w:val="0"/>
        <w:jc w:val="center"/>
        <w:rPr>
          <w:color w:val="auto"/>
          <w:highlight w:val="none"/>
        </w:rPr>
      </w:pPr>
      <w:r>
        <w:rPr>
          <w:rFonts w:ascii="黑体" w:hAnsi="宋体" w:eastAsia="黑体" w:cs="黑体"/>
          <w:color w:val="auto"/>
          <w:kern w:val="0"/>
          <w:sz w:val="21"/>
          <w:szCs w:val="21"/>
          <w:highlight w:val="none"/>
          <w:lang w:val="en-US" w:eastAsia="zh-CN" w:bidi="ar"/>
        </w:rPr>
        <w:t>医疗保障官方标志图案</w:t>
      </w:r>
    </w:p>
    <w:p>
      <w:pPr>
        <w:rPr>
          <w:rFonts w:hint="eastAsia" w:ascii="宋体" w:hAnsi="宋体" w:cs="宋体"/>
          <w:color w:val="auto"/>
          <w:sz w:val="24"/>
          <w:szCs w:val="24"/>
          <w:highlight w:val="none"/>
          <w:lang w:eastAsia="zh-CN"/>
        </w:rPr>
      </w:pPr>
    </w:p>
    <w:p>
      <w:pPr>
        <w:pStyle w:val="2"/>
        <w:jc w:val="center"/>
        <w:rPr>
          <w:rFonts w:hint="default"/>
          <w:color w:val="auto"/>
          <w:highlight w:val="none"/>
          <w:lang w:val="en-US" w:eastAsia="zh-CN"/>
        </w:rPr>
      </w:pPr>
      <w:r>
        <w:rPr>
          <w:rFonts w:hint="eastAsia"/>
          <w:color w:val="auto"/>
          <w:highlight w:val="none"/>
          <w:lang w:val="en-US" w:eastAsia="zh-CN"/>
        </w:rPr>
        <w:t>标语：中国医保 一生守护</w:t>
      </w:r>
    </w:p>
    <w:p>
      <w:pPr>
        <w:pStyle w:val="2"/>
        <w:rPr>
          <w:rFonts w:hint="eastAsia"/>
          <w:color w:val="auto"/>
          <w:highlight w:val="none"/>
          <w:lang w:eastAsia="zh-CN"/>
        </w:rPr>
      </w:pPr>
    </w:p>
    <w:p>
      <w:pPr>
        <w:pStyle w:val="2"/>
        <w:numPr>
          <w:ilvl w:val="0"/>
          <w:numId w:val="0"/>
        </w:numPr>
        <w:jc w:val="center"/>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2457450" cy="2457450"/>
            <wp:effectExtent l="0" t="0" r="0" b="0"/>
            <wp:docPr id="2" name="图片 2" descr="gh_280997bd6ecf_2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h_280997bd6ecf_25811"/>
                    <pic:cNvPicPr>
                      <a:picLocks noChangeAspect="1"/>
                    </pic:cNvPicPr>
                  </pic:nvPicPr>
                  <pic:blipFill>
                    <a:blip r:embed="rId10"/>
                    <a:stretch>
                      <a:fillRect/>
                    </a:stretch>
                  </pic:blipFill>
                  <pic:spPr>
                    <a:xfrm>
                      <a:off x="0" y="0"/>
                      <a:ext cx="2457450" cy="2457450"/>
                    </a:xfrm>
                    <a:prstGeom prst="rect">
                      <a:avLst/>
                    </a:prstGeom>
                  </pic:spPr>
                </pic:pic>
              </a:graphicData>
            </a:graphic>
          </wp:inline>
        </w:drawing>
      </w:r>
    </w:p>
    <w:p>
      <w:pPr>
        <w:pStyle w:val="3"/>
        <w:rPr>
          <w:rFonts w:hint="eastAsia" w:eastAsia="仿宋_GB2312"/>
          <w:color w:val="auto"/>
          <w:highlight w:val="none"/>
          <w:lang w:val="en-US" w:eastAsia="zh-CN"/>
        </w:rPr>
      </w:pPr>
      <w:r>
        <w:rPr>
          <w:rFonts w:hint="eastAsia" w:eastAsia="仿宋_GB2312"/>
          <w:color w:val="auto"/>
          <w:highlight w:val="none"/>
          <w:lang w:val="en-US" w:eastAsia="zh-CN"/>
        </w:rPr>
        <w:t>义渡医保便民码</w:t>
      </w:r>
    </w:p>
    <w:p>
      <w:pPr>
        <w:jc w:val="center"/>
        <w:rPr>
          <w:rFonts w:hint="eastAsia"/>
          <w:color w:val="auto"/>
          <w:highlight w:val="none"/>
          <w:lang w:val="en-US" w:eastAsia="zh-CN"/>
        </w:rPr>
      </w:pPr>
      <w:r>
        <w:rPr>
          <w:rFonts w:hint="eastAsia"/>
          <w:color w:val="auto"/>
          <w:highlight w:val="none"/>
          <w:lang w:val="en-US" w:eastAsia="zh-CN"/>
        </w:rPr>
        <w:drawing>
          <wp:inline distT="0" distB="0" distL="114300" distR="114300">
            <wp:extent cx="5029200" cy="2381250"/>
            <wp:effectExtent l="0" t="0" r="0" b="0"/>
            <wp:docPr id="4" name="图片 4" descr="57794309ac7f9a669678601a299db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7794309ac7f9a669678601a299db46"/>
                    <pic:cNvPicPr>
                      <a:picLocks noChangeAspect="1"/>
                    </pic:cNvPicPr>
                  </pic:nvPicPr>
                  <pic:blipFill>
                    <a:blip r:embed="rId11"/>
                    <a:stretch>
                      <a:fillRect/>
                    </a:stretch>
                  </pic:blipFill>
                  <pic:spPr>
                    <a:xfrm>
                      <a:off x="0" y="0"/>
                      <a:ext cx="5029200" cy="2381250"/>
                    </a:xfrm>
                    <a:prstGeom prst="rect">
                      <a:avLst/>
                    </a:prstGeom>
                  </pic:spPr>
                </pic:pic>
              </a:graphicData>
            </a:graphic>
          </wp:inline>
        </w:drawing>
      </w:r>
    </w:p>
    <w:p>
      <w:pPr>
        <w:jc w:val="center"/>
        <w:rPr>
          <w:rFonts w:hint="default" w:eastAsia="仿宋_GB2312"/>
          <w:color w:val="auto"/>
          <w:highlight w:val="none"/>
          <w:lang w:val="en-US" w:eastAsia="zh-CN"/>
        </w:rPr>
      </w:pPr>
      <w:r>
        <w:rPr>
          <w:rFonts w:hint="eastAsia" w:eastAsia="仿宋_GB2312"/>
          <w:color w:val="auto"/>
          <w:highlight w:val="none"/>
          <w:lang w:val="en-US" w:eastAsia="zh-CN"/>
        </w:rPr>
        <w:t>义渡医保便民码和四元素的排版如图</w:t>
      </w:r>
    </w:p>
    <w:p>
      <w:pPr>
        <w:jc w:val="center"/>
        <w:rPr>
          <w:rFonts w:hint="eastAsia" w:eastAsia="仿宋_GB2312"/>
          <w:color w:val="auto"/>
          <w:highlight w:val="none"/>
          <w:lang w:val="en-US" w:eastAsia="zh-CN"/>
        </w:rPr>
      </w:pPr>
    </w:p>
    <w:p>
      <w:pPr>
        <w:jc w:val="center"/>
        <w:rPr>
          <w:rFonts w:hint="default" w:eastAsia="仿宋_GB2312"/>
          <w:color w:val="auto"/>
          <w:highlight w:val="none"/>
          <w:lang w:val="en-US" w:eastAsia="zh-CN"/>
        </w:rPr>
      </w:pPr>
      <w:r>
        <w:rPr>
          <w:rFonts w:hint="eastAsia" w:eastAsia="仿宋_GB2312"/>
          <w:color w:val="auto"/>
          <w:highlight w:val="none"/>
          <w:lang w:val="en-US" w:eastAsia="zh-CN"/>
        </w:rPr>
        <w:t>义渡医保便民码四元素：办事流程、电子医保、智能回答、医保政策。</w:t>
      </w:r>
    </w:p>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15148"/>
      <w:bookmarkStart w:id="20" w:name="_Toc483557553"/>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color w:val="auto"/>
          <w:sz w:val="24"/>
          <w:szCs w:val="24"/>
          <w:highlight w:val="none"/>
        </w:rPr>
        <w:t>本项目报价</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设计费用、制作费用。</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供应商签订《政府采购合同》后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27955"/>
      <w:bookmarkStart w:id="24" w:name="_Toc11828"/>
      <w:bookmarkStart w:id="25" w:name="_Toc20778"/>
      <w:bookmarkStart w:id="26" w:name="_Toc3475"/>
      <w:bookmarkStart w:id="27" w:name="_Toc25886"/>
      <w:bookmarkStart w:id="28" w:name="_Toc9654"/>
      <w:bookmarkStart w:id="29" w:name="_Toc5085"/>
      <w:bookmarkStart w:id="30" w:name="_Toc14778"/>
      <w:bookmarkStart w:id="31" w:name="_Toc13969"/>
      <w:bookmarkStart w:id="32" w:name="_Toc31315"/>
      <w:bookmarkStart w:id="33" w:name="_Toc25516"/>
      <w:bookmarkStart w:id="34" w:name="_Toc19730"/>
      <w:bookmarkStart w:id="35" w:name="_Toc15478"/>
      <w:bookmarkStart w:id="36" w:name="_Toc9027"/>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余老师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大渡口区松青路88号二楼医保局办公室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凡有意参加询比的供应商，请于公告发布之日起至报名截止时间之前，在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w:t>
      </w:r>
      <w:r>
        <w:rPr>
          <w:rFonts w:hint="eastAsia" w:ascii="宋体" w:hAnsi="宋体" w:cs="宋体"/>
          <w:color w:val="auto"/>
          <w:sz w:val="24"/>
          <w:szCs w:val="24"/>
          <w:highlight w:val="none"/>
          <w:lang w:val="en-US" w:eastAsia="zh-CN"/>
        </w:rPr>
        <w:t>2023年5月17日10:00-12:00之间到大渡口区松青路88号二楼医保局办公室线下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及样品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评审时间：</w:t>
      </w:r>
      <w:r>
        <w:rPr>
          <w:rFonts w:hint="eastAsia" w:ascii="宋体" w:hAnsi="宋体" w:cs="宋体"/>
          <w:color w:val="auto"/>
          <w:sz w:val="24"/>
          <w:szCs w:val="24"/>
          <w:highlight w:val="none"/>
          <w:lang w:val="en-US" w:eastAsia="zh-CN"/>
        </w:rPr>
        <w:t>2023年5月17日下午16点。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无论询比结果如何，供应商参与本项目的所有费用均由自行承担。</w:t>
      </w:r>
    </w:p>
    <w:p>
      <w:pPr>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、评选方法</w:t>
      </w:r>
    </w:p>
    <w:p>
      <w:pPr>
        <w:pageBreakBefore w:val="0"/>
        <w:widowControl w:val="0"/>
        <w:numPr>
          <w:ilvl w:val="0"/>
          <w:numId w:val="0"/>
        </w:numPr>
        <w:kinsoku/>
        <w:wordWrap/>
        <w:overflowPunct/>
        <w:topLinePunct w:val="0"/>
        <w:autoSpaceDE/>
        <w:autoSpaceDN/>
        <w:bidi w:val="0"/>
        <w:adjustRightInd/>
        <w:snapToGrid w:val="0"/>
        <w:spacing w:line="360" w:lineRule="exact"/>
        <w:ind w:firstLine="42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满分100分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供应商必须对以上条款和服务承诺明确列出，承诺内容必须达到要求。</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十、供应商提交响应文件</w:t>
      </w:r>
      <w:r>
        <w:rPr>
          <w:rFonts w:hint="eastAsia" w:ascii="宋体" w:hAnsi="宋体" w:cs="宋体"/>
          <w:b/>
          <w:bCs/>
          <w:color w:val="auto"/>
          <w:sz w:val="24"/>
          <w:szCs w:val="24"/>
          <w:highlight w:val="none"/>
          <w:lang w:val="en-US" w:eastAsia="zh-CN"/>
        </w:rPr>
        <w:t>及样品</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lang w:val="en-US" w:eastAsia="zh-CN"/>
        </w:rPr>
        <w:t>报名时</w:t>
      </w:r>
      <w:r>
        <w:rPr>
          <w:rFonts w:hint="eastAsia" w:ascii="宋体" w:hAnsi="宋体" w:eastAsia="宋体" w:cs="宋体"/>
          <w:color w:val="auto"/>
          <w:sz w:val="24"/>
          <w:szCs w:val="24"/>
          <w:highlight w:val="none"/>
          <w:lang w:val="en-US" w:eastAsia="zh-CN"/>
        </w:rPr>
        <w:t>需</w:t>
      </w:r>
      <w:r>
        <w:rPr>
          <w:rFonts w:hint="eastAsia" w:ascii="宋体" w:hAnsi="宋体" w:cs="宋体"/>
          <w:color w:val="auto"/>
          <w:sz w:val="24"/>
          <w:szCs w:val="24"/>
          <w:highlight w:val="none"/>
          <w:lang w:val="en-US" w:eastAsia="zh-CN"/>
        </w:rPr>
        <w:t>提供盖章后的响应文件</w:t>
      </w:r>
      <w:r>
        <w:rPr>
          <w:rFonts w:hint="eastAsia" w:ascii="宋体" w:hAnsi="宋体" w:cs="宋体"/>
          <w:color w:val="auto"/>
          <w:sz w:val="24"/>
          <w:szCs w:val="24"/>
          <w:highlight w:val="none"/>
          <w:lang w:val="en-US" w:eastAsia="zh-CN"/>
        </w:rPr>
        <w:t>正本、副本各1份、</w:t>
      </w:r>
      <w:r>
        <w:rPr>
          <w:rFonts w:hint="eastAsia" w:ascii="宋体" w:hAnsi="宋体" w:eastAsia="宋体" w:cs="宋体"/>
          <w:color w:val="auto"/>
          <w:kern w:val="0"/>
          <w:sz w:val="24"/>
          <w:szCs w:val="24"/>
          <w:highlight w:val="none"/>
          <w:lang w:val="en-US" w:eastAsia="zh-CN"/>
        </w:rPr>
        <w:t>笔记本及背心pdf格式的图文设计稿，笔记本纸张、封面材料样品、背心样品</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w:t>
      </w: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lang w:val="en-US" w:eastAsia="zh-CN"/>
        </w:rPr>
        <w:t>作为评判依据。</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val="en-US" w:eastAsia="zh-CN"/>
        </w:rPr>
        <w:t>，须按照要求制作，规定签字、盖章的地方必须按其规定签字、盖章，未按要求制作响应文件的进行废标处理。</w:t>
      </w:r>
    </w:p>
    <w:p>
      <w:pPr>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bl>
      <w:tblPr>
        <w:tblStyle w:val="11"/>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269"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评分因素</w:t>
            </w:r>
          </w:p>
        </w:tc>
        <w:tc>
          <w:tcPr>
            <w:tcW w:w="95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分值</w:t>
            </w:r>
          </w:p>
        </w:tc>
        <w:tc>
          <w:tcPr>
            <w:tcW w:w="4677"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评分标准（以下评分标准为举例）</w:t>
            </w:r>
          </w:p>
        </w:tc>
        <w:tc>
          <w:tcPr>
            <w:tcW w:w="2724" w:type="dxa"/>
            <w:vAlign w:val="center"/>
          </w:tcPr>
          <w:p>
            <w:pPr>
              <w:pStyle w:val="14"/>
              <w:spacing w:before="0" w:after="0"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p>
        </w:tc>
        <w:tc>
          <w:tcPr>
            <w:tcW w:w="1269" w:type="dxa"/>
            <w:vAlign w:val="center"/>
          </w:tcPr>
          <w:p>
            <w:pPr>
              <w:spacing w:line="360" w:lineRule="exact"/>
              <w:rPr>
                <w:rFonts w:ascii="宋体" w:cs="方正仿宋_GBK"/>
                <w:color w:val="auto"/>
                <w:sz w:val="24"/>
                <w:szCs w:val="24"/>
                <w:highlight w:val="none"/>
              </w:rPr>
            </w:pPr>
            <w:r>
              <w:rPr>
                <w:rFonts w:hint="eastAsia" w:ascii="宋体" w:hAnsi="宋体" w:cs="方正仿宋_GBK"/>
                <w:color w:val="auto"/>
                <w:sz w:val="24"/>
                <w:szCs w:val="24"/>
                <w:highlight w:val="none"/>
              </w:rPr>
              <w:t>投标报价</w:t>
            </w:r>
          </w:p>
        </w:tc>
        <w:tc>
          <w:tcPr>
            <w:tcW w:w="95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r>
              <w:rPr>
                <w:rFonts w:hint="eastAsia" w:ascii="宋体" w:hAnsi="宋体" w:cs="方正仿宋_GBK"/>
                <w:color w:val="auto"/>
                <w:sz w:val="24"/>
                <w:szCs w:val="24"/>
                <w:highlight w:val="none"/>
              </w:rPr>
              <w:t>0</w:t>
            </w:r>
          </w:p>
        </w:tc>
        <w:tc>
          <w:tcPr>
            <w:tcW w:w="4677" w:type="dxa"/>
            <w:vAlign w:val="center"/>
          </w:tcPr>
          <w:p>
            <w:pPr>
              <w:widowControl/>
              <w:spacing w:line="300" w:lineRule="exact"/>
              <w:outlineLvl w:val="2"/>
              <w:rPr>
                <w:rFonts w:asci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有效的投标报价中的最低价为评标基准价，按照下列公式计算每个投标人的投标价格得分。</w:t>
            </w:r>
          </w:p>
          <w:p>
            <w:pPr>
              <w:widowControl/>
              <w:spacing w:line="300" w:lineRule="exact"/>
              <w:outlineLvl w:val="2"/>
              <w:rPr>
                <w:rFonts w:ascii="宋体" w:cs="方正仿宋_GBK"/>
                <w:color w:val="auto"/>
                <w:sz w:val="24"/>
                <w:szCs w:val="24"/>
                <w:highlight w:val="none"/>
              </w:rPr>
            </w:pPr>
            <w:r>
              <w:rPr>
                <w:rFonts w:hint="eastAsia" w:ascii="宋体" w:hAnsi="宋体" w:cs="宋体"/>
                <w:color w:val="auto"/>
                <w:sz w:val="24"/>
                <w:szCs w:val="24"/>
                <w:highlight w:val="none"/>
              </w:rPr>
              <w:t>投标报价得分＝（评标基准价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投标报价）×价格权重×</w:t>
            </w:r>
            <w:r>
              <w:rPr>
                <w:rFonts w:ascii="宋体" w:hAnsi="宋体" w:cs="宋体"/>
                <w:color w:val="auto"/>
                <w:sz w:val="24"/>
                <w:szCs w:val="24"/>
                <w:highlight w:val="none"/>
              </w:rPr>
              <w:t>100</w:t>
            </w:r>
            <w:r>
              <w:rPr>
                <w:rFonts w:hint="eastAsia" w:ascii="宋体" w:hAnsi="宋体" w:cs="宋体"/>
                <w:color w:val="auto"/>
                <w:sz w:val="24"/>
                <w:szCs w:val="24"/>
                <w:highlight w:val="none"/>
              </w:rPr>
              <w:t>。</w:t>
            </w:r>
          </w:p>
        </w:tc>
        <w:tc>
          <w:tcPr>
            <w:tcW w:w="2724" w:type="dxa"/>
            <w:vAlign w:val="center"/>
          </w:tcPr>
          <w:p>
            <w:pPr>
              <w:spacing w:line="360" w:lineRule="exact"/>
              <w:rPr>
                <w:rFonts w:ascii="宋体" w:cs="方正仿宋_GBK"/>
                <w:color w:val="auto"/>
                <w:sz w:val="24"/>
                <w:szCs w:val="24"/>
                <w:highlight w:val="none"/>
              </w:rPr>
            </w:pPr>
            <w:r>
              <w:rPr>
                <w:rFonts w:hint="eastAsia" w:ascii="宋体" w:hAnsi="宋体" w:cs="宋体"/>
                <w:color w:val="auto"/>
                <w:sz w:val="24"/>
                <w:szCs w:val="24"/>
                <w:highlight w:val="none"/>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5"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2</w:t>
            </w:r>
          </w:p>
        </w:tc>
        <w:tc>
          <w:tcPr>
            <w:tcW w:w="1269" w:type="dxa"/>
            <w:vAlign w:val="center"/>
          </w:tcPr>
          <w:p>
            <w:pPr>
              <w:spacing w:line="320" w:lineRule="exact"/>
              <w:jc w:val="center"/>
              <w:rPr>
                <w:rFonts w:ascii="宋体" w:cs="方正仿宋_GBK"/>
                <w:color w:val="auto"/>
                <w:sz w:val="24"/>
                <w:szCs w:val="24"/>
                <w:highlight w:val="none"/>
              </w:rPr>
            </w:pPr>
            <w:r>
              <w:rPr>
                <w:rFonts w:hint="eastAsia" w:ascii="宋体" w:cs="方正仿宋_GBK"/>
                <w:color w:val="auto"/>
                <w:sz w:val="24"/>
                <w:szCs w:val="24"/>
                <w:highlight w:val="none"/>
              </w:rPr>
              <w:t>服务部分</w:t>
            </w:r>
          </w:p>
        </w:tc>
        <w:tc>
          <w:tcPr>
            <w:tcW w:w="955" w:type="dxa"/>
            <w:vAlign w:val="center"/>
          </w:tcPr>
          <w:p>
            <w:pPr>
              <w:widowControl/>
              <w:spacing w:line="32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70</w:t>
            </w:r>
            <w:r>
              <w:rPr>
                <w:rFonts w:hint="eastAsia" w:asciiTheme="majorEastAsia" w:hAnsiTheme="majorEastAsia" w:eastAsiaTheme="majorEastAsia" w:cstheme="majorEastAsia"/>
                <w:color w:val="auto"/>
                <w:sz w:val="24"/>
                <w:szCs w:val="24"/>
                <w:highlight w:val="none"/>
              </w:rPr>
              <w:t>分</w:t>
            </w:r>
          </w:p>
        </w:tc>
        <w:tc>
          <w:tcPr>
            <w:tcW w:w="4677" w:type="dxa"/>
            <w:vAlign w:val="center"/>
          </w:tcPr>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1.提供PDF格式的笔记本及背心的图文设计，设计需美化实用，符合甲方提出的制作标准，设计优秀得21-30分，良得11-20分，一般得1-10分，差不得分。</w:t>
            </w:r>
          </w:p>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2.提供笔记本纸张、封面材料样品，提供背心样品，优秀得21-30分，良得11-20分，一般得1-10分，差不得分。</w:t>
            </w:r>
          </w:p>
          <w:p>
            <w:pPr>
              <w:widowControl/>
              <w:spacing w:line="300" w:lineRule="exact"/>
              <w:outlineLvl w:val="2"/>
              <w:rPr>
                <w:rFonts w:hint="default"/>
                <w:color w:val="auto"/>
                <w:highlight w:val="none"/>
                <w:lang w:val="en-US" w:eastAsia="zh-CN"/>
              </w:rPr>
            </w:pPr>
            <w:r>
              <w:rPr>
                <w:rFonts w:hint="eastAsia" w:ascii="宋体" w:hAnsi="宋体" w:cs="宋体"/>
                <w:color w:val="auto"/>
                <w:sz w:val="24"/>
                <w:szCs w:val="24"/>
                <w:highlight w:val="none"/>
                <w:lang w:val="en-US" w:eastAsia="zh-CN"/>
              </w:rPr>
              <w:t>3.有良好的工作组织管理，承诺提供专门的设计师1名进行一对一设计沟通得5分，无不得分；承诺根据甲方意见修改稿件得5分，无不得分。</w:t>
            </w:r>
          </w:p>
        </w:tc>
        <w:tc>
          <w:tcPr>
            <w:tcW w:w="2724" w:type="dxa"/>
            <w:vAlign w:val="center"/>
          </w:tcPr>
          <w:p>
            <w:pPr>
              <w:spacing w:line="320" w:lineRule="exact"/>
              <w:rPr>
                <w:rFonts w:hint="default" w:ascii="宋体" w:eastAsia="宋体" w:cs="方正仿宋_GBK"/>
                <w:color w:val="auto"/>
                <w:sz w:val="24"/>
                <w:szCs w:val="24"/>
                <w:highlight w:val="none"/>
                <w:lang w:val="en-US" w:eastAsia="zh-CN"/>
              </w:rPr>
            </w:pPr>
            <w:r>
              <w:rPr>
                <w:rFonts w:hint="eastAsia" w:ascii="宋体" w:hAnsi="宋体" w:cs="微软雅黑"/>
                <w:color w:val="auto"/>
                <w:sz w:val="24"/>
                <w:szCs w:val="24"/>
                <w:highlight w:val="none"/>
              </w:rPr>
              <w:t>专家小组成员根据投标人对</w:t>
            </w:r>
            <w:r>
              <w:rPr>
                <w:rFonts w:hint="eastAsia" w:ascii="宋体" w:hAnsi="宋体" w:cs="微软雅黑"/>
                <w:color w:val="auto"/>
                <w:sz w:val="24"/>
                <w:szCs w:val="24"/>
                <w:highlight w:val="none"/>
                <w:lang w:val="en-US" w:eastAsia="zh-CN"/>
              </w:rPr>
              <w:t>图文设计稿、样品、承诺书进行评分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705" w:type="dxa"/>
            <w:vAlign w:val="center"/>
          </w:tcPr>
          <w:p>
            <w:pPr>
              <w:spacing w:line="320" w:lineRule="exact"/>
              <w:jc w:val="center"/>
              <w:rPr>
                <w:rFonts w:ascii="宋体" w:cs="方正仿宋_GBK"/>
                <w:color w:val="auto"/>
                <w:sz w:val="24"/>
                <w:szCs w:val="24"/>
                <w:highlight w:val="none"/>
              </w:rPr>
            </w:pPr>
            <w:r>
              <w:rPr>
                <w:rFonts w:ascii="宋体" w:hAnsi="宋体" w:cs="方正仿宋_GBK"/>
                <w:color w:val="auto"/>
                <w:sz w:val="24"/>
                <w:szCs w:val="24"/>
                <w:highlight w:val="none"/>
              </w:rPr>
              <w:t>3</w:t>
            </w:r>
          </w:p>
        </w:tc>
        <w:tc>
          <w:tcPr>
            <w:tcW w:w="1269" w:type="dxa"/>
            <w:vAlign w:val="center"/>
          </w:tcPr>
          <w:p>
            <w:pPr>
              <w:spacing w:line="320" w:lineRule="exact"/>
              <w:jc w:val="center"/>
              <w:rPr>
                <w:rFonts w:ascii="宋体" w:cs="方正仿宋_GBK"/>
                <w:color w:val="auto"/>
                <w:sz w:val="24"/>
                <w:szCs w:val="24"/>
                <w:highlight w:val="none"/>
              </w:rPr>
            </w:pPr>
            <w:r>
              <w:rPr>
                <w:rFonts w:hint="eastAsia" w:ascii="宋体" w:hAnsi="宋体" w:cs="方正仿宋_GBK"/>
                <w:color w:val="auto"/>
                <w:sz w:val="24"/>
                <w:szCs w:val="24"/>
                <w:highlight w:val="none"/>
              </w:rPr>
              <w:t>商务部分</w:t>
            </w:r>
          </w:p>
        </w:tc>
        <w:tc>
          <w:tcPr>
            <w:tcW w:w="955" w:type="dxa"/>
            <w:vAlign w:val="center"/>
          </w:tcPr>
          <w:p>
            <w:pPr>
              <w:widowControl/>
              <w:spacing w:line="300" w:lineRule="exact"/>
              <w:jc w:val="center"/>
              <w:outlineLvl w:val="2"/>
              <w:rPr>
                <w:rFonts w:ascii="宋体" w:cs="宋体"/>
                <w:color w:val="auto"/>
                <w:sz w:val="24"/>
                <w:szCs w:val="24"/>
                <w:highlight w:val="none"/>
              </w:rPr>
            </w:pPr>
            <w:r>
              <w:rPr>
                <w:rFonts w:hint="eastAsia" w:ascii="宋体" w:hAnsi="宋体" w:cs="宋体"/>
                <w:color w:val="auto"/>
                <w:sz w:val="24"/>
                <w:szCs w:val="24"/>
                <w:highlight w:val="none"/>
              </w:rPr>
              <w:t>20</w:t>
            </w:r>
          </w:p>
        </w:tc>
        <w:tc>
          <w:tcPr>
            <w:tcW w:w="4677" w:type="dxa"/>
            <w:vAlign w:val="center"/>
          </w:tcPr>
          <w:p>
            <w:pPr>
              <w:pStyle w:val="5"/>
              <w:rPr>
                <w:color w:val="auto"/>
                <w:szCs w:val="24"/>
                <w:highlight w:val="none"/>
              </w:rPr>
            </w:pPr>
            <w:r>
              <w:rPr>
                <w:rFonts w:hint="eastAsia" w:ascii="宋体" w:hAnsi="宋体" w:cs="宋体"/>
                <w:color w:val="auto"/>
                <w:szCs w:val="24"/>
                <w:highlight w:val="none"/>
              </w:rPr>
              <w:t>供应商自20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年1月1日起在全国范围内提供过</w:t>
            </w:r>
            <w:r>
              <w:rPr>
                <w:rFonts w:hint="eastAsia" w:ascii="宋体" w:hAnsi="宋体" w:cs="宋体"/>
                <w:color w:val="auto"/>
                <w:szCs w:val="24"/>
                <w:highlight w:val="none"/>
                <w:lang w:val="en-US" w:eastAsia="zh-CN"/>
              </w:rPr>
              <w:t>笔记本设计印刷服务</w:t>
            </w:r>
            <w:r>
              <w:rPr>
                <w:rFonts w:hint="eastAsia" w:ascii="宋体" w:hAnsi="宋体" w:cs="宋体"/>
                <w:color w:val="auto"/>
                <w:szCs w:val="24"/>
                <w:highlight w:val="none"/>
              </w:rPr>
              <w:t>的，提供合同</w:t>
            </w:r>
            <w:r>
              <w:rPr>
                <w:rFonts w:hint="eastAsia" w:ascii="宋体" w:hAnsi="宋体" w:cs="宋体"/>
                <w:color w:val="auto"/>
                <w:szCs w:val="24"/>
                <w:highlight w:val="none"/>
                <w:lang w:val="en-US" w:eastAsia="zh-CN"/>
              </w:rPr>
              <w:t>一次得5分</w:t>
            </w:r>
            <w:r>
              <w:rPr>
                <w:rFonts w:hint="eastAsia" w:ascii="宋体" w:hAnsi="宋体" w:cs="宋体"/>
                <w:color w:val="auto"/>
                <w:szCs w:val="24"/>
                <w:highlight w:val="none"/>
              </w:rPr>
              <w:t>，最高得20分。</w:t>
            </w:r>
          </w:p>
        </w:tc>
        <w:tc>
          <w:tcPr>
            <w:tcW w:w="2724" w:type="dxa"/>
            <w:vAlign w:val="center"/>
          </w:tcPr>
          <w:p>
            <w:pPr>
              <w:spacing w:line="320" w:lineRule="exact"/>
              <w:rPr>
                <w:rFonts w:ascii="宋体" w:cs="方正仿宋_GBK"/>
                <w:color w:val="auto"/>
                <w:sz w:val="24"/>
                <w:szCs w:val="24"/>
                <w:highlight w:val="none"/>
              </w:rPr>
            </w:pPr>
            <w:r>
              <w:rPr>
                <w:rFonts w:hint="eastAsia" w:ascii="宋体" w:hAnsi="宋体" w:cs="宋体"/>
                <w:color w:val="auto"/>
                <w:sz w:val="24"/>
                <w:szCs w:val="24"/>
                <w:highlight w:val="none"/>
              </w:rPr>
              <w:t>提供合同扫描件，原件备查。</w:t>
            </w:r>
          </w:p>
        </w:tc>
      </w:tr>
    </w:tbl>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spacing w:line="312" w:lineRule="auto"/>
        <w:jc w:val="center"/>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pPr>
        <w:numPr>
          <w:ilvl w:val="0"/>
          <w:numId w:val="1"/>
        </w:numPr>
        <w:spacing w:line="312" w:lineRule="auto"/>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报价</w:t>
      </w:r>
    </w:p>
    <w:p>
      <w:pPr>
        <w:tabs>
          <w:tab w:val="left" w:pos="6300"/>
        </w:tabs>
        <w:snapToGrid w:val="0"/>
        <w:spacing w:line="312" w:lineRule="auto"/>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rPr>
        <w:t>报价函</w:t>
      </w:r>
    </w:p>
    <w:p>
      <w:pPr>
        <w:tabs>
          <w:tab w:val="left" w:pos="6300"/>
        </w:tabs>
        <w:snapToGrid w:val="0"/>
        <w:spacing w:line="360" w:lineRule="auto"/>
        <w:jc w:val="center"/>
        <w:outlineLvl w:val="0"/>
        <w:rPr>
          <w:rFonts w:ascii="宋体" w:hAnsi="宋体" w:cs="宋体"/>
          <w:b/>
          <w:color w:val="auto"/>
          <w:szCs w:val="28"/>
          <w:highlight w:val="none"/>
        </w:rPr>
      </w:pPr>
      <w:r>
        <w:rPr>
          <w:rFonts w:hint="eastAsia" w:ascii="宋体" w:hAnsi="宋体" w:cs="宋体"/>
          <w:b/>
          <w:color w:val="auto"/>
          <w:szCs w:val="28"/>
          <w:highlight w:val="none"/>
        </w:rPr>
        <w:t>报价函</w:t>
      </w:r>
    </w:p>
    <w:p>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1、愿意按照询比采购文件中的一切要求，提供本项目的技术服务，报价为人民币</w:t>
      </w:r>
      <w:r>
        <w:rPr>
          <w:rFonts w:hint="eastAsia" w:ascii="宋体" w:hAnsi="宋体" w:cs="宋体"/>
          <w:color w:val="auto"/>
          <w:sz w:val="24"/>
          <w:szCs w:val="24"/>
          <w:highlight w:val="none"/>
          <w:u w:val="single"/>
        </w:rPr>
        <w:t>大写：     元整</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小写：    元</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w:t>
      </w:r>
      <w:r>
        <w:rPr>
          <w:rFonts w:hint="eastAsia" w:ascii="宋体" w:hAnsi="宋体" w:cs="宋体"/>
          <w:color w:val="auto"/>
          <w:sz w:val="24"/>
          <w:szCs w:val="24"/>
          <w:highlight w:val="none"/>
        </w:rPr>
        <w:t>本次询比的有效期为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5、在整个询比</w:t>
      </w:r>
      <w:r>
        <w:rPr>
          <w:rFonts w:ascii="宋体" w:hAnsi="宋体" w:cs="宋体"/>
          <w:color w:val="auto"/>
          <w:sz w:val="24"/>
          <w:szCs w:val="24"/>
          <w:highlight w:val="none"/>
        </w:rPr>
        <w:t>采购</w:t>
      </w:r>
      <w:r>
        <w:rPr>
          <w:rFonts w:hint="eastAsia" w:ascii="宋体" w:hAnsi="宋体" w:cs="宋体"/>
          <w:color w:val="auto"/>
          <w:sz w:val="24"/>
          <w:szCs w:val="24"/>
          <w:highlight w:val="none"/>
        </w:rPr>
        <w:t>过程中，我方若有违规行为，接受</w:t>
      </w:r>
      <w:r>
        <w:rPr>
          <w:rFonts w:hint="eastAsia" w:ascii="宋体" w:hAnsi="宋体" w:cs="宋体"/>
          <w:color w:val="auto"/>
          <w:sz w:val="24"/>
          <w:szCs w:val="24"/>
          <w:highlight w:val="none"/>
          <w:lang w:val="en-US" w:eastAsia="zh-CN"/>
        </w:rPr>
        <w:t>政府采购相关规定给予</w:t>
      </w:r>
      <w:r>
        <w:rPr>
          <w:rFonts w:hint="eastAsia" w:ascii="宋体" w:hAnsi="宋体" w:cs="宋体"/>
          <w:color w:val="auto"/>
          <w:sz w:val="24"/>
          <w:szCs w:val="24"/>
          <w:highlight w:val="none"/>
        </w:rPr>
        <w:t>惩罚。</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8"/>
          <w:highlight w:val="none"/>
        </w:rPr>
        <w:t>我方理解，最低报价不是成交的唯一条件。</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w:t>
      </w:r>
    </w:p>
    <w:p>
      <w:pPr>
        <w:snapToGrid w:val="0"/>
        <w:spacing w:line="360" w:lineRule="auto"/>
        <w:ind w:firstLine="480" w:firstLineChars="200"/>
        <w:rPr>
          <w:rFonts w:ascii="宋体" w:hAnsi="宋体" w:cs="宋体"/>
          <w:color w:val="auto"/>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highlight w:val="none"/>
        </w:rPr>
        <w:t xml:space="preserve">                                                  年   月   日</w:t>
      </w:r>
    </w:p>
    <w:p>
      <w:pPr>
        <w:tabs>
          <w:tab w:val="left" w:pos="2895"/>
        </w:tabs>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pPr>
        <w:tabs>
          <w:tab w:val="left" w:pos="2975"/>
          <w:tab w:val="center" w:pos="4765"/>
        </w:tabs>
        <w:spacing w:line="312" w:lineRule="auto"/>
        <w:jc w:val="left"/>
        <w:rPr>
          <w:rFonts w:ascii="宋体" w:hAnsi="宋体" w:cs="宋体"/>
          <w:b/>
          <w:color w:val="auto"/>
          <w:szCs w:val="28"/>
          <w:highlight w:val="none"/>
        </w:rPr>
      </w:pPr>
      <w:r>
        <w:rPr>
          <w:rFonts w:hint="eastAsia" w:ascii="宋体" w:hAnsi="宋体" w:cs="宋体"/>
          <w:b/>
          <w:color w:val="auto"/>
          <w:szCs w:val="28"/>
          <w:highlight w:val="none"/>
        </w:rPr>
        <w:tab/>
      </w:r>
      <w:r>
        <w:rPr>
          <w:rFonts w:hint="eastAsia" w:ascii="宋体" w:hAnsi="宋体" w:cs="宋体"/>
          <w:b/>
          <w:color w:val="auto"/>
          <w:szCs w:val="28"/>
          <w:highlight w:val="none"/>
        </w:rPr>
        <w:tab/>
      </w:r>
      <w:r>
        <w:rPr>
          <w:rFonts w:hint="eastAsia" w:ascii="宋体" w:hAnsi="宋体" w:cs="宋体"/>
          <w:b/>
          <w:color w:val="auto"/>
          <w:szCs w:val="28"/>
          <w:highlight w:val="none"/>
        </w:rPr>
        <w:t>明细报价表</w:t>
      </w:r>
    </w:p>
    <w:tbl>
      <w:tblPr>
        <w:tblStyle w:val="11"/>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95"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40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cs="宋体"/>
                <w:color w:val="auto"/>
                <w:sz w:val="21"/>
                <w:szCs w:val="21"/>
                <w:highlight w:val="none"/>
              </w:rPr>
              <w:t>1</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3</w:t>
            </w:r>
          </w:p>
        </w:tc>
        <w:tc>
          <w:tcPr>
            <w:tcW w:w="1695" w:type="dxa"/>
            <w:vAlign w:val="center"/>
          </w:tcPr>
          <w:p>
            <w:pPr>
              <w:jc w:val="center"/>
              <w:rPr>
                <w:rFonts w:hint="eastAsia" w:ascii="宋体" w:hAnsi="宋体" w:eastAsia="宋体" w:cs="宋体"/>
                <w:color w:val="auto"/>
                <w:sz w:val="21"/>
                <w:szCs w:val="21"/>
                <w:highlight w:val="none"/>
                <w:lang w:val="en-US" w:eastAsia="zh-CN"/>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各种税费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436" w:type="dxa"/>
            <w:gridSpan w:val="4"/>
          </w:tcPr>
          <w:p>
            <w:pPr>
              <w:rPr>
                <w:rFonts w:ascii="宋体" w:hAnsi="宋体" w:cs="宋体"/>
                <w:color w:val="auto"/>
                <w:sz w:val="21"/>
                <w:szCs w:val="21"/>
                <w:highlight w:val="none"/>
              </w:rPr>
            </w:pPr>
          </w:p>
        </w:tc>
      </w:tr>
    </w:tbl>
    <w:p>
      <w:pPr>
        <w:snapToGrid w:val="0"/>
        <w:spacing w:line="312" w:lineRule="auto"/>
        <w:ind w:firstLine="480" w:firstLineChars="200"/>
        <w:rPr>
          <w:rFonts w:ascii="宋体" w:hAnsi="宋体" w:cs="宋体"/>
          <w:color w:val="auto"/>
          <w:sz w:val="24"/>
          <w:szCs w:val="28"/>
          <w:highlight w:val="none"/>
        </w:rPr>
      </w:pPr>
    </w:p>
    <w:p>
      <w:pPr>
        <w:snapToGrid w:val="0"/>
        <w:spacing w:line="312" w:lineRule="auto"/>
        <w:ind w:firstLine="480" w:firstLineChars="200"/>
        <w:rPr>
          <w:rFonts w:ascii="宋体" w:hAnsi="宋体" w:cs="宋体"/>
          <w:color w:val="auto"/>
          <w:sz w:val="24"/>
          <w:szCs w:val="28"/>
          <w:highlight w:val="none"/>
        </w:rPr>
      </w:pPr>
    </w:p>
    <w:p>
      <w:pPr>
        <w:snapToGrid w:val="0"/>
        <w:spacing w:line="312" w:lineRule="auto"/>
        <w:rPr>
          <w:rFonts w:ascii="宋体" w:hAnsi="宋体" w:cs="宋体"/>
          <w:color w:val="auto"/>
          <w:sz w:val="24"/>
          <w:szCs w:val="28"/>
          <w:highlight w:val="none"/>
        </w:rPr>
      </w:pPr>
      <w:r>
        <w:rPr>
          <w:rFonts w:hint="eastAsia" w:ascii="宋体" w:hAnsi="宋体" w:cs="宋体"/>
          <w:color w:val="auto"/>
          <w:sz w:val="24"/>
          <w:szCs w:val="28"/>
          <w:highlight w:val="none"/>
        </w:rPr>
        <w:t>注：</w:t>
      </w:r>
      <w:r>
        <w:rPr>
          <w:rFonts w:hint="eastAsia" w:ascii="宋体" w:hAnsi="宋体" w:cs="宋体"/>
          <w:color w:val="auto"/>
          <w:sz w:val="24"/>
          <w:szCs w:val="28"/>
          <w:highlight w:val="none"/>
          <w:lang w:val="en-US" w:eastAsia="zh-CN"/>
        </w:rPr>
        <w:t>本表</w:t>
      </w:r>
      <w:r>
        <w:rPr>
          <w:rFonts w:hint="eastAsia" w:ascii="宋体" w:hAnsi="宋体" w:cs="宋体"/>
          <w:color w:val="auto"/>
          <w:sz w:val="24"/>
          <w:szCs w:val="28"/>
          <w:highlight w:val="none"/>
        </w:rPr>
        <w:t>可根据项目实际情况调整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并逐页盖章。</w:t>
      </w:r>
    </w:p>
    <w:p>
      <w:pPr>
        <w:pStyle w:val="10"/>
        <w:spacing w:line="312" w:lineRule="auto"/>
        <w:ind w:firstLine="480"/>
        <w:rPr>
          <w:rFonts w:ascii="宋体" w:hAnsi="宋体" w:cs="宋体"/>
          <w:color w:val="auto"/>
          <w:sz w:val="24"/>
          <w:szCs w:val="24"/>
          <w:highlight w:val="none"/>
        </w:rPr>
      </w:pPr>
    </w:p>
    <w:p>
      <w:pPr>
        <w:pStyle w:val="10"/>
        <w:spacing w:line="312" w:lineRule="auto"/>
        <w:ind w:firstLine="480"/>
        <w:rPr>
          <w:rFonts w:ascii="宋体" w:hAnsi="宋体" w:cs="宋体"/>
          <w:color w:val="auto"/>
          <w:highlight w:val="none"/>
        </w:rPr>
      </w:pPr>
      <w:r>
        <w:rPr>
          <w:rFonts w:hint="eastAsia" w:ascii="宋体" w:hAnsi="宋体" w:cs="宋体"/>
          <w:color w:val="auto"/>
          <w:sz w:val="24"/>
          <w:szCs w:val="24"/>
          <w:highlight w:val="none"/>
        </w:rPr>
        <w:t xml:space="preserve">            </w:t>
      </w:r>
    </w:p>
    <w:p>
      <w:pPr>
        <w:spacing w:line="312" w:lineRule="auto"/>
        <w:rPr>
          <w:rFonts w:ascii="宋体" w:hAnsi="宋体" w:cs="宋体"/>
          <w:color w:val="auto"/>
          <w:highlight w:val="none"/>
        </w:rPr>
      </w:pPr>
    </w:p>
    <w:p>
      <w:pPr>
        <w:spacing w:line="312"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w:t>
      </w:r>
    </w:p>
    <w:p>
      <w:pPr>
        <w:spacing w:line="312"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widowControl w:val="0"/>
        <w:numPr>
          <w:ilvl w:val="0"/>
          <w:numId w:val="0"/>
        </w:numPr>
        <w:spacing w:line="312" w:lineRule="auto"/>
        <w:ind w:firstLine="420" w:firstLineChars="0"/>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spacing w:line="312" w:lineRule="auto"/>
        <w:ind w:firstLine="480" w:firstLineChars="200"/>
        <w:rPr>
          <w:rFonts w:hint="eastAsia" w:ascii="宋体" w:hAnsi="宋体" w:cs="宋体"/>
          <w:color w:val="auto"/>
          <w:sz w:val="24"/>
          <w:szCs w:val="24"/>
          <w:highlight w:val="none"/>
        </w:rPr>
      </w:pPr>
    </w:p>
    <w:p>
      <w:pPr>
        <w:spacing w:line="312" w:lineRule="auto"/>
        <w:ind w:firstLine="480" w:firstLineChars="200"/>
        <w:rPr>
          <w:rFonts w:hint="eastAsia" w:ascii="宋体" w:hAnsi="宋体" w:cs="宋体"/>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1"/>
        </w:numPr>
        <w:spacing w:line="312" w:lineRule="auto"/>
        <w:ind w:left="0" w:leftChars="0" w:firstLine="0" w:firstLineChars="0"/>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服务方案</w:t>
      </w:r>
    </w:p>
    <w:p>
      <w:pPr>
        <w:widowControl w:val="0"/>
        <w:numPr>
          <w:ilvl w:val="0"/>
          <w:numId w:val="0"/>
        </w:numPr>
        <w:spacing w:line="312" w:lineRule="auto"/>
        <w:jc w:val="center"/>
        <w:rPr>
          <w:rFonts w:hint="default" w:ascii="宋体" w:hAnsi="宋体" w:cs="宋体"/>
          <w:b/>
          <w:bCs w:val="0"/>
          <w:i/>
          <w:iCs/>
          <w:color w:val="auto"/>
          <w:sz w:val="24"/>
          <w:szCs w:val="24"/>
          <w:highlight w:val="none"/>
          <w:u w:val="single"/>
          <w:lang w:val="en-US" w:eastAsia="zh-CN"/>
        </w:rPr>
      </w:pPr>
      <w:r>
        <w:rPr>
          <w:rFonts w:hint="eastAsia" w:ascii="宋体" w:hAnsi="宋体" w:cs="宋体"/>
          <w:i/>
          <w:iCs/>
          <w:color w:val="auto"/>
          <w:sz w:val="24"/>
          <w:szCs w:val="24"/>
          <w:highlight w:val="none"/>
          <w:u w:val="single"/>
        </w:rPr>
        <w:t>服务方案（格式自定）</w:t>
      </w:r>
    </w:p>
    <w:p>
      <w:pPr>
        <w:widowControl w:val="0"/>
        <w:numPr>
          <w:ilvl w:val="0"/>
          <w:numId w:val="0"/>
        </w:numPr>
        <w:spacing w:line="312" w:lineRule="auto"/>
        <w:jc w:val="both"/>
        <w:rPr>
          <w:rFonts w:hint="default" w:ascii="宋体" w:hAnsi="宋体" w:cs="宋体"/>
          <w:b/>
          <w:bCs w:val="0"/>
          <w:color w:val="auto"/>
          <w:sz w:val="24"/>
          <w:szCs w:val="24"/>
          <w:highlight w:val="none"/>
          <w:lang w:val="en-US" w:eastAsia="zh-CN"/>
        </w:rPr>
      </w:pPr>
    </w:p>
    <w:p>
      <w:pPr>
        <w:pStyle w:val="4"/>
        <w:spacing w:before="0" w:after="0" w:line="360" w:lineRule="auto"/>
        <w:jc w:val="left"/>
        <w:rPr>
          <w:rFonts w:hint="eastAsia" w:ascii="宋体" w:hAnsi="宋体" w:cs="宋体"/>
          <w:color w:val="auto"/>
          <w:sz w:val="24"/>
          <w:szCs w:val="24"/>
          <w:highlight w:val="none"/>
        </w:rPr>
      </w:pPr>
    </w:p>
    <w:p>
      <w:pPr>
        <w:pStyle w:val="4"/>
        <w:numPr>
          <w:ilvl w:val="0"/>
          <w:numId w:val="1"/>
        </w:numPr>
        <w:spacing w:before="0" w:after="0"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资格条件及其他</w:t>
      </w:r>
    </w:p>
    <w:p>
      <w:pPr>
        <w:widowControl w:val="0"/>
        <w:numPr>
          <w:ilvl w:val="0"/>
          <w:numId w:val="0"/>
        </w:numPr>
        <w:spacing w:line="312" w:lineRule="auto"/>
        <w:jc w:val="center"/>
        <w:rPr>
          <w:rFonts w:hint="default" w:ascii="宋体" w:hAnsi="宋体" w:cs="宋体"/>
          <w:i/>
          <w:iCs/>
          <w:color w:val="auto"/>
          <w:sz w:val="24"/>
          <w:szCs w:val="24"/>
          <w:highlight w:val="none"/>
          <w:u w:val="single"/>
          <w:lang w:val="en-US" w:eastAsia="zh-CN"/>
        </w:rPr>
      </w:pPr>
      <w:r>
        <w:rPr>
          <w:rFonts w:hint="eastAsia" w:ascii="宋体" w:hAnsi="宋体" w:cs="宋体"/>
          <w:i/>
          <w:iCs/>
          <w:color w:val="auto"/>
          <w:sz w:val="24"/>
          <w:szCs w:val="24"/>
          <w:highlight w:val="none"/>
          <w:u w:val="single"/>
          <w:lang w:val="en-US" w:eastAsia="zh-CN"/>
        </w:rPr>
        <w:t>按照采购文件要求提供</w:t>
      </w:r>
      <w:r>
        <w:rPr>
          <w:rFonts w:hint="eastAsia" w:ascii="宋体" w:hAnsi="宋体" w:cs="宋体"/>
          <w:i/>
          <w:iCs/>
          <w:color w:val="auto"/>
          <w:sz w:val="24"/>
          <w:szCs w:val="24"/>
          <w:highlight w:val="none"/>
          <w:u w:val="single"/>
          <w:lang w:val="en-US" w:eastAsia="zh-CN"/>
        </w:rPr>
        <w:t>承诺书</w:t>
      </w:r>
    </w:p>
    <w:p>
      <w:pPr>
        <w:widowControl w:val="0"/>
        <w:numPr>
          <w:ilvl w:val="0"/>
          <w:numId w:val="0"/>
        </w:numPr>
        <w:jc w:val="both"/>
        <w:rPr>
          <w:rFonts w:hint="default"/>
          <w:color w:val="auto"/>
          <w:highlight w:val="none"/>
          <w:lang w:val="en-US" w:eastAsia="zh-CN"/>
        </w:rPr>
      </w:pPr>
    </w:p>
    <w:p>
      <w:pPr>
        <w:pStyle w:val="4"/>
        <w:spacing w:before="0" w:after="0" w:line="312" w:lineRule="auto"/>
        <w:rPr>
          <w:rFonts w:hint="eastAsia" w:ascii="宋体" w:hAnsi="宋体" w:cs="宋体"/>
          <w:color w:val="auto"/>
          <w:sz w:val="24"/>
          <w:szCs w:val="24"/>
          <w:highlight w:val="none"/>
          <w:lang w:val="en-US" w:eastAsia="zh-CN"/>
        </w:rPr>
      </w:pPr>
    </w:p>
    <w:p>
      <w:pPr>
        <w:tabs>
          <w:tab w:val="left" w:pos="6300"/>
        </w:tabs>
        <w:snapToGrid w:val="0"/>
        <w:spacing w:line="312" w:lineRule="auto"/>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tabs>
          <w:tab w:val="left" w:pos="6300"/>
        </w:tabs>
        <w:snapToGrid w:val="0"/>
        <w:spacing w:line="312"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法定代表人授权委托书（格式）</w:t>
      </w: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w:t>
      </w:r>
      <w:r>
        <w:rPr>
          <w:rFonts w:hint="eastAsia" w:ascii="宋体" w:hAnsi="宋体" w:cs="宋体"/>
          <w:color w:val="auto"/>
          <w:sz w:val="24"/>
          <w:szCs w:val="24"/>
          <w:highlight w:val="none"/>
          <w:lang w:val="en-US" w:eastAsia="zh-CN"/>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法定代表人：</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12"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rPr>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hw0Re0BAAC0AwAADgAAAGRycy9lMm9Eb2MueG1srVPNjtMwEL4j&#10;8Q6W7zRtoUuJmq6WXRUhLT/SwgO4jpNYxB5r7DYpDwBvsCcu3HmuPgdjpykL3BAXazKe+fzNN19W&#10;l71p2V6h12ALPptMOVNWQqltXfCPHzZPlpz5IGwpWrCq4Afl+eX68aNV53I1hwbaUiEjEOvzzhW8&#10;CcHlWeZlo4zwE3DK0mUFaESgT6yzEkVH6KbN5tPpRdYBlg5BKu8pezNc8nXCryolw7uq8iqwtuDE&#10;LaQT07mNZ7ZeibxG4RotTzTEP7AwQlt69Ax1I4JgO9R/QRktETxUYSLBZFBVWqo0A00zm/4xzV0j&#10;nEqzkDjenWXy/w9Wvt2/R6bLgi84s8LQio73X4/ffhy/f2GzKE/nfE5Vd47qQv8SelpzGtW7W5Cf&#10;PLNw3QhbqytE6BolSqKXOrMHrQOOjyDb7g2U9I7YBUhAfYUmakdqMEKnNR3Oq1F9YJKS8+XF0yVR&#10;lHQ1e/b8xWIRuWUiH5sd+vBKgWExKDjS5hO42N/6MJSOJfEtCxvdtmn7rf0tQZgxk8hHvgPz0G/7&#10;kxhbKA80BsJgJjI/BQ3gZ846MlLBLTmds/a1JSGi58YAx2A7BsJKaix44GwIr8PgzZ1DXTeEO0p9&#10;RWJtdBokqjpwOLEkayQpTjaO3nv4nap+/Wz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GzHS&#10;AAAAAwEAAA8AAAAAAAAAAQAgAAAAIgAAAGRycy9kb3ducmV2LnhtbFBLAQIUABQAAAAIAIdO4kBq&#10;HDRF7QEAALQDAAAOAAAAAAAAAAEAIAAAACEBAABkcnMvZTJvRG9jLnhtbFBLBQYAAAAABgAGAFkB&#10;AACABQAAAAA=&#10;">
              <v:fill on="f" focussize="0,0"/>
              <v:stroke on="f"/>
              <v:imagedata o:title=""/>
              <o:lock v:ext="edit" aspectratio="f"/>
              <v:textbox inset="0mm,0mm,0mm,0mm" style="mso-fit-shape-to-text:t;">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F476E2"/>
    <w:rsid w:val="05CD48F9"/>
    <w:rsid w:val="0AD46A9B"/>
    <w:rsid w:val="0CF4322A"/>
    <w:rsid w:val="144B717A"/>
    <w:rsid w:val="15FA6F2A"/>
    <w:rsid w:val="25E55424"/>
    <w:rsid w:val="28FF2A5D"/>
    <w:rsid w:val="2B812460"/>
    <w:rsid w:val="2D0B7011"/>
    <w:rsid w:val="2D630BFB"/>
    <w:rsid w:val="2E234D82"/>
    <w:rsid w:val="2EF6509D"/>
    <w:rsid w:val="3207424B"/>
    <w:rsid w:val="39B63041"/>
    <w:rsid w:val="3BF770DE"/>
    <w:rsid w:val="3EAF3CA0"/>
    <w:rsid w:val="3FEA1470"/>
    <w:rsid w:val="4484172B"/>
    <w:rsid w:val="45A02594"/>
    <w:rsid w:val="461B52D7"/>
    <w:rsid w:val="513957AC"/>
    <w:rsid w:val="5BDE576D"/>
    <w:rsid w:val="64300B2F"/>
    <w:rsid w:val="656C10BC"/>
    <w:rsid w:val="7141437C"/>
    <w:rsid w:val="759A3D02"/>
    <w:rsid w:val="76073553"/>
    <w:rsid w:val="7D53592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character" w:styleId="13">
    <w:name w:val="page number"/>
    <w:basedOn w:val="12"/>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0</TotalTime>
  <ScaleCrop>false</ScaleCrop>
  <LinksUpToDate>false</LinksUpToDate>
  <CharactersWithSpaces>3009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HP-07</cp:lastModifiedBy>
  <dcterms:modified xsi:type="dcterms:W3CDTF">2023-05-15T08:42:27Z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A14A49090EAD4BCEB8247947604599A1_12</vt:lpwstr>
  </property>
</Properties>
</file>